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ind w:firstLine="425"/>
        <w:jc w:val="center"/>
        <w:textAlignment w:val="center"/>
        <w:rPr>
          <w:rFonts w:ascii="Times New Roman" w:hAnsi="Times New Roman" w:cs="Times New Roman"/>
          <w:b/>
          <w:color w:val="000000"/>
          <w:kern w:val="0"/>
          <w:sz w:val="32"/>
          <w:szCs w:val="32"/>
          <w:lang w:val="zh-CN"/>
        </w:rPr>
      </w:pPr>
      <w:r w:rsidRPr="004C5AF5">
        <w:rPr>
          <w:rFonts w:ascii="Times New Roman" w:hAnsiTheme="minorEastAsia" w:cs="Times New Roman"/>
          <w:b/>
          <w:color w:val="000000"/>
          <w:kern w:val="0"/>
          <w:sz w:val="32"/>
          <w:szCs w:val="32"/>
          <w:lang w:val="zh-CN"/>
        </w:rPr>
        <w:t>化解过剩产能　实现脱困发展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——2015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中国煤炭产业经济景气报告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中经煤炭产业经济景气研究课题组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（中央财经大学　中国煤炭经济研究院，北京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100018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摘要：煤炭产业景气值分析表明，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年煤炭产业仍处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隆冬季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并且陷入了极度困境。综合国内外形势看，我国煤炭产业脱困发展还面临着诸多压力，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年的形势仍旧不容乐观。当务之急是稳住煤炭价格，使长期处于隆冬季的煤炭产业得到喘息机会；从根本上实现煤炭产业脱困发展，关键是化解产能过剩。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关键词：煤炭产业；景气值；产能过剩；脱困发展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中图分类号：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F426.21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文献标识码：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A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文章编号：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1002-9605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01-0006-05</w:t>
      </w:r>
    </w:p>
    <w:p w:rsidR="004C5AF5" w:rsidRPr="004C5AF5" w:rsidRDefault="004C5AF5" w:rsidP="004C5AF5">
      <w:pPr>
        <w:autoSpaceDE w:val="0"/>
        <w:autoSpaceDN w:val="0"/>
        <w:adjustRightInd w:val="0"/>
        <w:spacing w:line="320" w:lineRule="atLeast"/>
        <w:jc w:val="center"/>
        <w:textAlignment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4C5AF5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Resolve the excess capacity, out of the mess and realize the development</w:t>
      </w:r>
    </w:p>
    <w:p w:rsidR="004C5AF5" w:rsidRPr="004C5AF5" w:rsidRDefault="00F65106" w:rsidP="004C5AF5">
      <w:pPr>
        <w:autoSpaceDE w:val="0"/>
        <w:autoSpaceDN w:val="0"/>
        <w:adjustRightInd w:val="0"/>
        <w:spacing w:line="320" w:lineRule="atLeast"/>
        <w:ind w:firstLine="425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</w:rPr>
      </w:pPr>
      <w:r w:rsidRPr="00F65106">
        <w:rPr>
          <w:rFonts w:ascii="Times New Roman" w:hAnsi="Times New Roman" w:cs="Times New Roman"/>
          <w:color w:val="000000"/>
          <w:kern w:val="0"/>
          <w:szCs w:val="21"/>
        </w:rPr>
        <w:t>——</w:t>
      </w:r>
      <w:r w:rsidR="004C5AF5" w:rsidRPr="004C5AF5">
        <w:rPr>
          <w:rFonts w:ascii="Times New Roman" w:hAnsi="Times New Roman" w:cs="Times New Roman"/>
          <w:color w:val="000000"/>
          <w:kern w:val="0"/>
          <w:szCs w:val="21"/>
        </w:rPr>
        <w:t>China coal industry economic sentiment report in 2015</w:t>
      </w:r>
    </w:p>
    <w:p w:rsidR="004C5AF5" w:rsidRPr="004C5AF5" w:rsidRDefault="004C5AF5" w:rsidP="004C5AF5">
      <w:pPr>
        <w:autoSpaceDE w:val="0"/>
        <w:autoSpaceDN w:val="0"/>
        <w:adjustRightInd w:val="0"/>
        <w:spacing w:line="320" w:lineRule="atLeast"/>
        <w:ind w:firstLine="425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</w:rPr>
        <w:t>(China Institute for Coal Economic Research, Beijing 100081, China)</w:t>
      </w:r>
    </w:p>
    <w:p w:rsidR="004C5AF5" w:rsidRPr="004C5AF5" w:rsidRDefault="004C5AF5" w:rsidP="004C5AF5">
      <w:pPr>
        <w:autoSpaceDE w:val="0"/>
        <w:autoSpaceDN w:val="0"/>
        <w:adjustRightInd w:val="0"/>
        <w:spacing w:line="32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</w:rPr>
        <w:t>Abstract: The index of the coal industry analysis shows that the coal industry in 2015 are still in “midwinter season” and in deep trouble.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</w:t>
      </w:r>
      <w:r w:rsidRPr="004C5AF5">
        <w:rPr>
          <w:rFonts w:ascii="Times New Roman" w:hAnsi="Times New Roman" w:cs="Times New Roman"/>
          <w:color w:val="000000"/>
          <w:kern w:val="0"/>
          <w:szCs w:val="21"/>
        </w:rPr>
        <w:t>Looking at the overall international and domestic situations, China coal industry out of this trouble is facing numerous pressure.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</w:t>
      </w:r>
      <w:r w:rsidRPr="004C5AF5">
        <w:rPr>
          <w:rFonts w:ascii="Times New Roman" w:hAnsi="Times New Roman" w:cs="Times New Roman"/>
          <w:color w:val="000000"/>
          <w:kern w:val="0"/>
          <w:szCs w:val="21"/>
        </w:rPr>
        <w:t>Also, the situation is still not optimistic in 2016. Priority is to stabilize the price of coal, make long-term coal industry get breathing space in “midwinter season”; Fundamentally, out of the mess and realize the development, the key is to resolve the excess capacity.</w:t>
      </w:r>
    </w:p>
    <w:p w:rsidR="004C5AF5" w:rsidRPr="004C5AF5" w:rsidRDefault="004C5AF5" w:rsidP="004C5AF5">
      <w:pPr>
        <w:autoSpaceDE w:val="0"/>
        <w:autoSpaceDN w:val="0"/>
        <w:adjustRightInd w:val="0"/>
        <w:spacing w:line="32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</w:rPr>
        <w:t>Key words: coal industry; sentiment index; excess capacity; out of the mess and development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年度景气值</w:t>
      </w:r>
    </w:p>
    <w:p w:rsid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Theme="minorEastAsia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年煤炭产业景气指数较上一年跌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1.1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点，景气值为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93.9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，基本上沿着原有的斜率继续下行；预警指数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55.6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，在横盘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个季度后再下一个台阶，表明煤炭产业运行的风险系数进一步扩大（图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3139440" cy="1362456"/>
            <wp:effectExtent l="19050" t="0" r="3810" b="0"/>
            <wp:docPr id="1" name="图片 0" descr="t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1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中国煤炭产业经济景气值与预警指数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煤炭经济运行主要指标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煤炭供给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2.1.1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原煤生产</w:t>
      </w:r>
    </w:p>
    <w:p w:rsid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Theme="minorEastAsia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年，我国煤炭产量连续第二年负增长。据测算，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年全国原煤产量为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36.8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，同比下降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3.5%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。其中一季度为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8.47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，二季度为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9.42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，三季度为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9.36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，四季度为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9.6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，分别同比下降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3.5%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9.48%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0.74%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1.15%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F65106" w:rsidRPr="004C5AF5" w:rsidRDefault="00F65106" w:rsidP="00F65106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2.1.2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煤炭进出口</w:t>
      </w:r>
    </w:p>
    <w:p w:rsidR="00F65106" w:rsidRDefault="00F65106" w:rsidP="00F65106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Theme="minorEastAsia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年我国累计进口煤炭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2.04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年减少了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8716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，同比下降幅度达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29.9%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；其中四个季度同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lastRenderedPageBreak/>
        <w:t>比下降幅度分别为：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41.56%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33.08%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10.31%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30.23%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。煤炭进口量为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年以来的最低水平（图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F65106" w:rsidRDefault="00F65106" w:rsidP="00F65106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jc w:val="left"/>
        <w:textAlignment w:val="center"/>
        <w:rPr>
          <w:rFonts w:ascii="Times New Roman" w:hAnsiTheme="minorEastAsia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年我国累计出口煤炭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533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年减少了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，同比下降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7.14%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，连续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年负增长（图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F65106" w:rsidRPr="004C5AF5" w:rsidRDefault="00F65106" w:rsidP="00F65106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jc w:val="left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全年净进口煤炭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1.99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，使我国连续第七年成为煤炭净进口国。</w:t>
      </w:r>
    </w:p>
    <w:p w:rsidR="004C5AF5" w:rsidRPr="004C5AF5" w:rsidRDefault="004C5AF5" w:rsidP="00F00080">
      <w:pPr>
        <w:tabs>
          <w:tab w:val="right" w:pos="9638"/>
        </w:tabs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3020568" cy="1420368"/>
            <wp:effectExtent l="19050" t="0" r="8382" b="0"/>
            <wp:docPr id="2" name="图片 1" descr="t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2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年季度煤炭产量变化</w:t>
      </w:r>
    </w:p>
    <w:p w:rsidR="00F65106" w:rsidRDefault="00F65106" w:rsidP="00F65106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 w:val="24"/>
          <w:szCs w:val="24"/>
          <w:lang w:val="zh-CN"/>
        </w:rPr>
        <w:t>注：</w:t>
      </w:r>
      <w:r w:rsidRPr="004C5AF5">
        <w:rPr>
          <w:rFonts w:ascii="Times New Roman" w:hAnsi="Times New Roman" w:cs="Times New Roman"/>
          <w:color w:val="000000"/>
          <w:kern w:val="0"/>
          <w:sz w:val="24"/>
          <w:szCs w:val="24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 w:val="24"/>
          <w:szCs w:val="24"/>
          <w:lang w:val="zh-CN"/>
        </w:rPr>
        <w:t>年起煤炭产量数据统计口径有变动。</w:t>
      </w:r>
    </w:p>
    <w:p w:rsidR="004C5AF5" w:rsidRPr="004C5AF5" w:rsidRDefault="004C5AF5" w:rsidP="00F00080">
      <w:pPr>
        <w:tabs>
          <w:tab w:val="right" w:pos="9638"/>
        </w:tabs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3057144" cy="1603248"/>
            <wp:effectExtent l="19050" t="0" r="0" b="0"/>
            <wp:docPr id="3" name="图片 2" descr="t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3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Theme="minorEastAsia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年季度煤炭进口量变化</w:t>
      </w:r>
    </w:p>
    <w:p w:rsidR="004C5AF5" w:rsidRPr="004C5AF5" w:rsidRDefault="004C5AF5" w:rsidP="00F00080">
      <w:pPr>
        <w:tabs>
          <w:tab w:val="right" w:pos="9638"/>
        </w:tabs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3041904" cy="1597152"/>
            <wp:effectExtent l="19050" t="0" r="6096" b="0"/>
            <wp:docPr id="4" name="图片 3" descr="t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4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年季度煤炭出口量变化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2.1.3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煤炭库存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年我国煤炭依然呈高库存状态，产成品资金占用维持高位。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截至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年底，煤炭产业全社会库存已连续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个月处于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左右的高位；煤炭企业存煤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1.01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，同比增加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16.7%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；沿海六大电厂电煤库存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1132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年底减少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236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，可用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17.38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天，同比减少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3.32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天；环渤海港口煤炭库存量分别为：秦皇岛港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345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、天津港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199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、京唐港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、曹妃甸港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132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，受冬季寒冷天气电厂备货影响，港口存煤在年末大幅减少（图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年末，煤炭产业产成品资金占用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1076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亿元，比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年末增加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77.85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亿元，同比增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7.8%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3057144" cy="1600200"/>
            <wp:effectExtent l="19050" t="0" r="0" b="0"/>
            <wp:docPr id="5" name="图片 4" descr="t1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5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年季度煤炭库存变化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3218688" cy="1789176"/>
            <wp:effectExtent l="19050" t="0" r="762" b="0"/>
            <wp:docPr id="6" name="图片 5" descr="t1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6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年季度煤炭产业产成品资金占用变化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煤炭市场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2.2.1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煤炭价格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在下游产业低迷、供需严重失衡以及市场恶性竞争的背景下，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年煤炭价格一路下滑。至年底，环渤海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23.03MJ/kg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5500kcal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）大卡动力煤综合平均价格跌至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372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/t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年同期下降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153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/t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，下跌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29%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；生产者出厂价格总水平收至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83.2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（以上年同期为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100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），同比下跌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5.2%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2871216" cy="2039112"/>
            <wp:effectExtent l="19050" t="0" r="5334" b="0"/>
            <wp:docPr id="7" name="图片 6" descr="t1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7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近年来我国煤炭价格走势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2.2.2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主营业务收入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年主营业务收入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26552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年减少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4284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亿元，降幅为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13.89%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，连续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年出现负增长。其中一季度为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7138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亿元，二季度为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6561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亿元，三季度为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6454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亿元，四季度为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6398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亿元，分别同比下降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8.3%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16.5%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lastRenderedPageBreak/>
        <w:t>14.4%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16.4%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3044952" cy="1606296"/>
            <wp:effectExtent l="19050" t="0" r="3048" b="0"/>
            <wp:docPr id="8" name="图片 7" descr="t1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8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4952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年季度煤炭产业主营业务收入变化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2.2.3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应收账款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年末应收账款为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4104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年末增加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232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亿元，增长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。其中一季度末为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3493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亿元，二季度末为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3811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亿元，三季度末为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3910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亿元，四季度为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4104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亿元，分别同比增长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9.6%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8.6%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7.9%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。在销售收入连续负增长的情况下，应收账款仍保持较大幅度的增加（图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年四季度煤炭产业应收账款周转天数为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56.4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天，与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年同期相比增加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12.3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天，煤炭产业回款压力持续增加（图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2923032" cy="1551432"/>
            <wp:effectExtent l="19050" t="0" r="0" b="0"/>
            <wp:docPr id="9" name="图片 8" descr="t1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9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年季度煤炭产业应收账款变化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2871216" cy="1499616"/>
            <wp:effectExtent l="19050" t="0" r="5334" b="0"/>
            <wp:docPr id="10" name="图片 9" descr="t1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10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年季度煤炭产业回款天数变化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经济效益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2.3.1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利润总额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年实现利润总额为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494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年减少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786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亿元，降幅为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61.39%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，降幅比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年扩大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17.29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个百分点。其中一季度为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148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亿元，二季度为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88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亿元，三季度为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82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亿元，四季度为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176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亿元，分别同比下降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62.6%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69.9%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60.2%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54.3%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lastRenderedPageBreak/>
        <w:t>受煤炭价格下跌并持续低迷影响，煤炭产业销售利润率在前三季度持续下降，第三季度低至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1.28%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，全年平均销售利润率为仅为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1.86%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年下降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2.25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个百分点。四季度利润率虽有所回升，达到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2.7%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，但仍比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年同期低了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个百分点，比全部工业平均水平（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6.1%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）低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3.4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个百分点，不及其一半（图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3136392" cy="1591056"/>
            <wp:effectExtent l="19050" t="0" r="6858" b="0"/>
            <wp:docPr id="11" name="图片 10" descr="t1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11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6392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年季度煤炭产业利润总额变化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2.3.2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税金总额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年税金总额为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1948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年减少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227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亿元，降幅为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10.4%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，税金降幅大大小于利润降幅。其中一季度为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547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亿元，二季度为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449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亿元，三季度为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452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亿元，四季度为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499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亿元，分别同比下降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7.9%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10.4%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7.2%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15.7%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。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年税金占销售收入的比例为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7.3%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，比全部工业税金总额占销售收入的比重高出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3.1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个百分点，可见产业负担较重的问题仍然没有得到很好的解决（图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2831592" cy="1368552"/>
            <wp:effectExtent l="19050" t="0" r="6858" b="0"/>
            <wp:docPr id="12" name="图片 11" descr="t1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12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年季度煤炭产业税金总额变化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投资与就业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2.4.1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固定资产投资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年固定资产投资总额为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3716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年减少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731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亿元，降幅为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16%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，连续第二年出现投资负增长，尤其是四季度投资总额同比下降了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21%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，创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年来最大降幅。其中一季度为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264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亿元，二季度为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982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亿元，三季度为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1431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亿元，四季度为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1038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亿元，分别同比下降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16.2%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14.2%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14.4%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21%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2923032" cy="1520952"/>
            <wp:effectExtent l="19050" t="0" r="0" b="0"/>
            <wp:docPr id="13" name="图片 12" descr="t1-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13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年季度煤炭产业固定资产投资变化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lastRenderedPageBreak/>
        <w:t>2.4.2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从业情况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煤炭产业从业人员连续两年出现负增长，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年末从业人数降至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465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万人，较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年末减少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万人，降幅为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7%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。可见在产业不景气背景下，通过裁员等方式实施自救的煤炭企业越来越多（图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）。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57" w:line="288" w:lineRule="auto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2895600" cy="1584960"/>
            <wp:effectExtent l="19050" t="0" r="0" b="0"/>
            <wp:docPr id="14" name="图片 13" descr="t1-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-14.t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after="113" w:line="360" w:lineRule="atLeast"/>
        <w:jc w:val="center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图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14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2011—2015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年季度煤炭产业从业人员变化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结论与建议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3.1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年总结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2015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年煤炭产业在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隆冬季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下继续艰难求生，陷入了极度困境，除利润总额在四季度同比降幅有所收窄外，其余主要经济指标均在进一步恶化，且看不出有任何好转的迹象。主营业务收入已连续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个季度呈现同比下降态势，为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1999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年以来所未见；煤炭价格逐季下跌，斜率没有改变；产业利润率继续大幅下滑，不及全部工业销售利润率的一半；煤炭库存继续居高不下，而且呈向上游转移趋势；上缴税金降幅远小于利润降幅，形成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51%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的降幅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剪刀差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；回款压力明显加大，将近三分之二的煤炭是赊销出去的，回款周期已经接近两个月，企业资金链承受巨大压力；用工需求持续减少，裁员数量明显放大。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值得注意的是，四季度煤炭产业利润降幅有所收窄，在一定程度上说明政府出台的清费正税、抑制煤炭进口的政策，以及企业的自救措施起到了一定的积极作用。四季度，我国煤炭进口比一季度减少了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1000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万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t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。几乎所有煤炭企业都在减员降薪，降低人工成本，实行精细化管理，压缩成本。成本利润化和政策红利为煤炭产业的利润增加做出了贡献。但需要警惕的是，一些煤炭企业为了压缩成本，连安全生产的投入也进行了压缩。这虽然在短期内给煤炭企业带来了财务报表上的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效益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，但也大大增加了安全生产的风险，给产业发展埋下了巨大的隐患。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3.2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年预期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从国际看，世界经济有着诸多的不确定性，石油、铁矿石等大宗商品价格持续走低，地缘政治问题增加，国际贸易低迷，汇率大幅波动，资本的流动性在上升，导致全球经济增长停顿，经济复苏乏力。随着美联储加息周期的开启和发达国家经济体金融状况的趋稳，风险逐渐向新兴经济体转移，发展中国家在转型和结构调整以及金融市场波动压力下，经济增速或将创金融危机以来新低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我国经济发展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三期叠加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正面临着速度换挡节点、结构调整节点、动力转换节点，并且转方式、调结构的任务越来越艰巨，各种金融风险不断暴露，在经济发展迎来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字头增速的背景下，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年仍将面临较大的下行压力。煤炭的下游产业仍旧普遍过剩，难以增加对煤炭的需求，产能过剩仍是煤炭产业最大的掣肘因素。加上煤炭产业多年来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小、散、乱、差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的顽疾根深蒂固，实现煤炭产业的脱困发展任重道远。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虽然一系列化解产能过剩和产业脱困的政策有望出台并实施，但一两年内很难实现过剩产能的出清和根本问题的解决。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2016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年我国煤炭产业经济景气值很可能呈现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“L”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型的走势。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3.3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 xml:space="preserve">　建议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lastRenderedPageBreak/>
        <w:t>当务之急是要想方设法稳住煤炭价格，使长期处于隆冬季的煤炭能得到喘息机会，应尽快出台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电煤价格保护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措施，形成以煤炭价值为基础的市场价格，尽量使煤炭价格恢复到煤电双方共赢的水平上来。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客观地讲，在市场需求难以有效回升的情况下，要从根本上实现企业脱困，解决煤炭产业面临的供需困局，关键是化解煤炭产能过剩。实践证明，在煤炭产能供给过剩且产业集中度较低的情况下，任何限制产量的措施都具有局限性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从指导思想上，要继续坚持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壮士断腕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的精神，要做好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“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加、减、乘、除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”</w:t>
      </w: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。要坚持发展先进产能，促进煤炭产业结构优化；要以淘汰落后产能作为抓手，大力化解煤炭过剩产能；要坚持创新驱动，通过科技、制度等创新，推动产业转型升级；要努力拓展煤炭的使用空间，形成新的消费点，把煤炭从燃料转化为工业原料和燃料并重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在退出机制上，要坚持依靠市场机制的决定性作用，利用市场倒逼机制加快市场出清；注重发挥企业的积极性，主动参与退出落后产能；要更好地发挥政府的作用，要综合运用各种政策手段，打好政策组合拳。要用好财政手段，该依靠财政补贴的就给予补贴，该由财政承担的就主动承担。在税收政策方面，该给煤炭企业减征的要及时减征，该免的收费项目要予以免除。在金融政策方面，在股票、债券及其他金融衍生品的发行上市方面给予优化考虑；还可以考虑对困难的企业选择性降息；对于煤炭产业在安全生产等必要性投入方面进行贴息贷款。在产业政策方面，要推出积极的产业的政策，对煤炭产业要有清晰性、倾斜型的产业政策，同时还要完善社会救助政策。在制度安排上，要做到有法可依、有据可查。在退出过程中，要做到奖惩分明，对煤炭落后产能退出任务较重且完成较好的地区和企业予以奖励；对不作为、乱作为的予以问责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煤炭企业要上下一心、齐心协力，千方百计渡过难关；更要抓住和利用好煤炭产业经济这次大调整而带来的新机遇、谋求新发展。要对产业的明天会更好坚定信心、不动摇，长期内煤炭仍是我国的基础能源和重要工业原料，没有理由对中国煤炭产业的明天失去信心；要加强企业联合，从内部竞争向合作发展转变，促进煤炭市场健康运行，保障产业有序发展；要顺势而为，代表先进生产力的企业应加大兼并重组力度，扩大市场、做大做强；要创新发展，加大供给侧改革力度，加快转型升级；要创新新常态下企业发展的新模式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（本文数据由中国煤炭经济研究院采集，最终数据以国家统计局公告为准）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课题组成员简介：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组长：岳福斌，中国煤炭经济研究院院长。</w:t>
      </w:r>
    </w:p>
    <w:p w:rsidR="004C5AF5" w:rsidRP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成员：吴璘（主执笔），中国煤炭经济研究院院长助理，中国矿业大学（北京）管理学院博士研究生；林火灿，经济日报记者；赵美娜，北京邮电大学经济管理学院硕士研究生。</w:t>
      </w:r>
      <w:r w:rsidRPr="004C5AF5">
        <w:rPr>
          <w:rFonts w:ascii="Times New Roman" w:hAnsi="Times New Roman" w:cs="Times New Roman"/>
          <w:color w:val="000000"/>
          <w:kern w:val="0"/>
          <w:szCs w:val="21"/>
          <w:lang w:val="zh-CN"/>
        </w:rPr>
        <w:t>E-mail: bszx2002@sina.com</w:t>
      </w:r>
    </w:p>
    <w:p w:rsidR="004C5AF5" w:rsidRDefault="004C5AF5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jc w:val="right"/>
        <w:textAlignment w:val="center"/>
        <w:rPr>
          <w:rFonts w:ascii="Times New Roman" w:hAnsiTheme="minorEastAsia" w:cs="Times New Roman"/>
          <w:color w:val="000000"/>
          <w:kern w:val="0"/>
          <w:szCs w:val="21"/>
          <w:lang w:val="zh-CN"/>
        </w:rPr>
      </w:pPr>
      <w:r w:rsidRPr="004C5AF5">
        <w:rPr>
          <w:rFonts w:ascii="Times New Roman" w:hAnsiTheme="minorEastAsia" w:cs="Times New Roman"/>
          <w:color w:val="000000"/>
          <w:kern w:val="0"/>
          <w:szCs w:val="21"/>
          <w:lang w:val="zh-CN"/>
        </w:rPr>
        <w:t>责任编辑：张鹏</w:t>
      </w:r>
    </w:p>
    <w:p w:rsidR="00F00080" w:rsidRPr="004C5AF5" w:rsidRDefault="00F00080" w:rsidP="004C5AF5">
      <w:pPr>
        <w:tabs>
          <w:tab w:val="right" w:pos="9638"/>
        </w:tabs>
        <w:autoSpaceDE w:val="0"/>
        <w:autoSpaceDN w:val="0"/>
        <w:adjustRightInd w:val="0"/>
        <w:spacing w:line="360" w:lineRule="atLeast"/>
        <w:ind w:firstLine="425"/>
        <w:jc w:val="right"/>
        <w:textAlignment w:val="center"/>
        <w:rPr>
          <w:rFonts w:ascii="Times New Roman" w:hAnsi="Times New Roman" w:cs="Times New Roman"/>
          <w:color w:val="000000"/>
          <w:kern w:val="0"/>
          <w:szCs w:val="21"/>
          <w:lang w:val="zh-CN"/>
        </w:rPr>
      </w:pPr>
      <w:r w:rsidRPr="000025A9"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（文章出自：《</w:t>
      </w:r>
      <w:r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煤炭经济研究</w:t>
      </w:r>
      <w:r w:rsidRPr="000025A9"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》 第</w:t>
      </w:r>
      <w:r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1</w:t>
      </w:r>
      <w:r w:rsidRPr="000025A9"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期，201</w:t>
      </w:r>
      <w:r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6</w:t>
      </w:r>
      <w:r w:rsidRPr="000025A9"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年</w:t>
      </w:r>
      <w:r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1</w:t>
      </w:r>
      <w:r w:rsidRPr="000025A9"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月</w:t>
      </w:r>
      <w:r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28日</w:t>
      </w:r>
      <w:r w:rsidRPr="000025A9"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，P</w:t>
      </w:r>
      <w:r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6</w:t>
      </w:r>
      <w:r w:rsidRPr="000025A9"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-</w:t>
      </w:r>
      <w:r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10</w:t>
      </w:r>
      <w:r w:rsidRPr="000025A9">
        <w:rPr>
          <w:rFonts w:ascii="方正书宋_GBK" w:eastAsia="方正书宋_GBK" w:hAnsi="Cambria" w:cs="Times New Roman" w:hint="eastAsia"/>
          <w:color w:val="000000"/>
          <w:kern w:val="0"/>
          <w:szCs w:val="21"/>
        </w:rPr>
        <w:t>）</w:t>
      </w:r>
    </w:p>
    <w:p w:rsidR="004C5AF5" w:rsidRPr="004C5AF5" w:rsidRDefault="004C5AF5">
      <w:pPr>
        <w:rPr>
          <w:rFonts w:ascii="Times New Roman" w:hAnsi="Times New Roman" w:cs="Times New Roman"/>
        </w:rPr>
      </w:pPr>
    </w:p>
    <w:sectPr w:rsidR="004C5AF5" w:rsidRPr="004C5AF5" w:rsidSect="004C5AF5">
      <w:footerReference w:type="default" r:id="rId2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626" w:rsidRDefault="00680626" w:rsidP="004C5AF5">
      <w:r>
        <w:separator/>
      </w:r>
    </w:p>
  </w:endnote>
  <w:endnote w:type="continuationSeparator" w:id="1">
    <w:p w:rsidR="00680626" w:rsidRDefault="00680626" w:rsidP="004C5A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TC-9ed88ba4526f672c*-1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15911"/>
      <w:docPartObj>
        <w:docPartGallery w:val="Page Numbers (Bottom of Page)"/>
        <w:docPartUnique/>
      </w:docPartObj>
    </w:sdtPr>
    <w:sdtContent>
      <w:p w:rsidR="004C5AF5" w:rsidRDefault="00D77D10">
        <w:pPr>
          <w:pStyle w:val="a4"/>
          <w:jc w:val="center"/>
        </w:pPr>
        <w:fldSimple w:instr=" PAGE   \* MERGEFORMAT ">
          <w:r w:rsidR="00265C9D" w:rsidRPr="00265C9D">
            <w:rPr>
              <w:noProof/>
              <w:lang w:val="zh-CN"/>
            </w:rPr>
            <w:t>7</w:t>
          </w:r>
        </w:fldSimple>
      </w:p>
    </w:sdtContent>
  </w:sdt>
  <w:p w:rsidR="004C5AF5" w:rsidRDefault="004C5AF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626" w:rsidRDefault="00680626" w:rsidP="004C5AF5">
      <w:r>
        <w:separator/>
      </w:r>
    </w:p>
  </w:footnote>
  <w:footnote w:type="continuationSeparator" w:id="1">
    <w:p w:rsidR="00680626" w:rsidRDefault="00680626" w:rsidP="004C5A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5AF5"/>
    <w:rsid w:val="00265C9D"/>
    <w:rsid w:val="004C5AF5"/>
    <w:rsid w:val="00680626"/>
    <w:rsid w:val="00925A72"/>
    <w:rsid w:val="00A73961"/>
    <w:rsid w:val="00AD64F0"/>
    <w:rsid w:val="00D77D10"/>
    <w:rsid w:val="00F00080"/>
    <w:rsid w:val="00F65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4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5A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5A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5A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5AF5"/>
    <w:rPr>
      <w:sz w:val="18"/>
      <w:szCs w:val="18"/>
    </w:rPr>
  </w:style>
  <w:style w:type="paragraph" w:customStyle="1" w:styleId="a5">
    <w:name w:val="标中"/>
    <w:basedOn w:val="a"/>
    <w:uiPriority w:val="99"/>
    <w:rsid w:val="004C5AF5"/>
    <w:pPr>
      <w:tabs>
        <w:tab w:val="right" w:pos="9638"/>
      </w:tabs>
      <w:autoSpaceDE w:val="0"/>
      <w:autoSpaceDN w:val="0"/>
      <w:adjustRightInd w:val="0"/>
      <w:spacing w:after="113" w:line="360" w:lineRule="atLeast"/>
      <w:ind w:firstLine="425"/>
      <w:jc w:val="center"/>
      <w:textAlignment w:val="center"/>
    </w:pPr>
    <w:rPr>
      <w:rFonts w:ascii="ATC-9ed88ba4526f672c*-1" w:eastAsia="ATC-9ed88ba4526f672c*-1" w:cs="ATC-9ed88ba4526f672c*-1"/>
      <w:color w:val="000000"/>
      <w:kern w:val="0"/>
      <w:sz w:val="32"/>
      <w:szCs w:val="32"/>
      <w:lang w:val="zh-CN"/>
    </w:rPr>
  </w:style>
  <w:style w:type="paragraph" w:customStyle="1" w:styleId="a6">
    <w:name w:val="作者"/>
    <w:basedOn w:val="a"/>
    <w:uiPriority w:val="99"/>
    <w:rsid w:val="004C5AF5"/>
    <w:pPr>
      <w:tabs>
        <w:tab w:val="right" w:pos="9638"/>
      </w:tabs>
      <w:autoSpaceDE w:val="0"/>
      <w:autoSpaceDN w:val="0"/>
      <w:adjustRightInd w:val="0"/>
      <w:spacing w:line="360" w:lineRule="atLeast"/>
      <w:jc w:val="center"/>
      <w:textAlignment w:val="center"/>
    </w:pPr>
    <w:rPr>
      <w:rFonts w:ascii="ATC-9ed88ba4526f672c*-1" w:eastAsia="ATC-9ed88ba4526f672c*-1" w:cs="ATC-9ed88ba4526f672c*-1"/>
      <w:color w:val="000000"/>
      <w:kern w:val="0"/>
      <w:szCs w:val="21"/>
      <w:lang w:val="zh-CN"/>
    </w:rPr>
  </w:style>
  <w:style w:type="paragraph" w:customStyle="1" w:styleId="a7">
    <w:name w:val="标题英"/>
    <w:basedOn w:val="a"/>
    <w:uiPriority w:val="99"/>
    <w:rsid w:val="004C5AF5"/>
    <w:pPr>
      <w:autoSpaceDE w:val="0"/>
      <w:autoSpaceDN w:val="0"/>
      <w:adjustRightInd w:val="0"/>
      <w:spacing w:after="227" w:line="320" w:lineRule="atLeast"/>
      <w:jc w:val="center"/>
      <w:textAlignment w:val="center"/>
    </w:pPr>
    <w:rPr>
      <w:rFonts w:ascii="Times New Roman" w:eastAsia="ATC-9ed88ba4526f672c*-1" w:hAnsi="Times New Roman" w:cs="Times New Roman"/>
      <w:b/>
      <w:bCs/>
      <w:color w:val="000000"/>
      <w:kern w:val="0"/>
      <w:sz w:val="28"/>
      <w:szCs w:val="28"/>
      <w:lang w:val="zh-CN"/>
    </w:rPr>
  </w:style>
  <w:style w:type="paragraph" w:customStyle="1" w:styleId="a8">
    <w:name w:val="英"/>
    <w:basedOn w:val="a"/>
    <w:uiPriority w:val="99"/>
    <w:rsid w:val="004C5AF5"/>
    <w:pPr>
      <w:autoSpaceDE w:val="0"/>
      <w:autoSpaceDN w:val="0"/>
      <w:adjustRightInd w:val="0"/>
      <w:spacing w:line="320" w:lineRule="atLeast"/>
      <w:ind w:firstLine="425"/>
      <w:textAlignment w:val="center"/>
    </w:pPr>
    <w:rPr>
      <w:rFonts w:ascii="Times New Roman" w:eastAsia="ATC-9ed88ba4526f672c*-1" w:hAnsi="Times New Roman" w:cs="Times New Roman"/>
      <w:color w:val="000000"/>
      <w:kern w:val="0"/>
      <w:szCs w:val="21"/>
      <w:lang w:val="zh-CN"/>
    </w:rPr>
  </w:style>
  <w:style w:type="paragraph" w:customStyle="1" w:styleId="a9">
    <w:name w:val="图"/>
    <w:basedOn w:val="a"/>
    <w:uiPriority w:val="99"/>
    <w:rsid w:val="004C5AF5"/>
    <w:pPr>
      <w:tabs>
        <w:tab w:val="right" w:pos="9638"/>
      </w:tabs>
      <w:autoSpaceDE w:val="0"/>
      <w:autoSpaceDN w:val="0"/>
      <w:adjustRightInd w:val="0"/>
      <w:spacing w:after="57" w:line="288" w:lineRule="auto"/>
      <w:jc w:val="center"/>
      <w:textAlignment w:val="center"/>
    </w:pPr>
    <w:rPr>
      <w:rFonts w:ascii="ATC-9ed88ba4526f672c*-1" w:eastAsia="ATC-9ed88ba4526f672c*-1" w:cs="ATC-9ed88ba4526f672c*-1"/>
      <w:color w:val="000000"/>
      <w:kern w:val="0"/>
      <w:szCs w:val="21"/>
      <w:lang w:val="zh-CN"/>
    </w:rPr>
  </w:style>
  <w:style w:type="paragraph" w:customStyle="1" w:styleId="aa">
    <w:name w:val="图说"/>
    <w:basedOn w:val="a"/>
    <w:uiPriority w:val="99"/>
    <w:rsid w:val="004C5AF5"/>
    <w:pPr>
      <w:tabs>
        <w:tab w:val="right" w:pos="9638"/>
      </w:tabs>
      <w:autoSpaceDE w:val="0"/>
      <w:autoSpaceDN w:val="0"/>
      <w:adjustRightInd w:val="0"/>
      <w:spacing w:after="113" w:line="360" w:lineRule="atLeast"/>
      <w:jc w:val="center"/>
      <w:textAlignment w:val="center"/>
    </w:pPr>
    <w:rPr>
      <w:rFonts w:ascii="ATC-9ed88ba4526f672c*-1" w:eastAsia="ATC-9ed88ba4526f672c*-1" w:cs="ATC-9ed88ba4526f672c*-1"/>
      <w:color w:val="000000"/>
      <w:kern w:val="0"/>
      <w:szCs w:val="21"/>
      <w:lang w:val="zh-CN"/>
    </w:rPr>
  </w:style>
  <w:style w:type="paragraph" w:customStyle="1" w:styleId="ab">
    <w:name w:val="表注"/>
    <w:basedOn w:val="a"/>
    <w:uiPriority w:val="99"/>
    <w:rsid w:val="004C5AF5"/>
    <w:pPr>
      <w:autoSpaceDE w:val="0"/>
      <w:autoSpaceDN w:val="0"/>
      <w:adjustRightInd w:val="0"/>
      <w:spacing w:after="170" w:line="288" w:lineRule="auto"/>
      <w:ind w:firstLine="397"/>
      <w:textAlignment w:val="center"/>
    </w:pPr>
    <w:rPr>
      <w:rFonts w:ascii="宋体" w:eastAsia="宋体" w:cs="宋体"/>
      <w:color w:val="000000"/>
      <w:kern w:val="0"/>
      <w:sz w:val="24"/>
      <w:szCs w:val="24"/>
      <w:lang w:val="zh-CN"/>
    </w:rPr>
  </w:style>
  <w:style w:type="paragraph" w:styleId="ac">
    <w:name w:val="Balloon Text"/>
    <w:basedOn w:val="a"/>
    <w:link w:val="Char1"/>
    <w:uiPriority w:val="99"/>
    <w:semiHidden/>
    <w:unhideWhenUsed/>
    <w:rsid w:val="004C5AF5"/>
    <w:rPr>
      <w:sz w:val="18"/>
      <w:szCs w:val="18"/>
    </w:rPr>
  </w:style>
  <w:style w:type="character" w:customStyle="1" w:styleId="Char1">
    <w:name w:val="批注框文本 Char"/>
    <w:basedOn w:val="a0"/>
    <w:link w:val="ac"/>
    <w:uiPriority w:val="99"/>
    <w:semiHidden/>
    <w:rsid w:val="004C5A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868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4</cp:revision>
  <dcterms:created xsi:type="dcterms:W3CDTF">2016-03-21T03:02:00Z</dcterms:created>
  <dcterms:modified xsi:type="dcterms:W3CDTF">2016-03-23T01:37:00Z</dcterms:modified>
</cp:coreProperties>
</file>